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Отчет о выполнении Плана мероприятий по противодействию коррупции на 20</w:t>
      </w:r>
      <w:r>
        <w:rPr>
          <w:rFonts w:ascii="Times New Roman" w:hAnsi="Times New Roman"/>
          <w:b w:val="1"/>
          <w:sz w:val="22"/>
        </w:rPr>
        <w:t>2</w:t>
      </w:r>
      <w:r>
        <w:rPr>
          <w:rFonts w:ascii="Times New Roman" w:hAnsi="Times New Roman"/>
          <w:b w:val="1"/>
          <w:sz w:val="22"/>
        </w:rPr>
        <w:t>4</w:t>
      </w:r>
      <w:r>
        <w:rPr>
          <w:rFonts w:ascii="Times New Roman" w:hAnsi="Times New Roman"/>
          <w:b w:val="1"/>
          <w:sz w:val="22"/>
        </w:rPr>
        <w:t>-2027</w:t>
      </w:r>
      <w:r>
        <w:rPr>
          <w:rFonts w:ascii="Times New Roman" w:hAnsi="Times New Roman"/>
          <w:b w:val="1"/>
          <w:sz w:val="22"/>
        </w:rPr>
        <w:t xml:space="preserve"> годы</w:t>
      </w:r>
    </w:p>
    <w:p w14:paraId="03000000">
      <w:pPr>
        <w:widowControl w:val="0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СПб ГБУ «Служба заказчика администрации Василеостровского района»</w:t>
      </w:r>
    </w:p>
    <w:p w14:paraId="04000000">
      <w:pPr>
        <w:widowControl w:val="0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За </w:t>
      </w:r>
      <w:r>
        <w:rPr>
          <w:rFonts w:ascii="Times New Roman" w:hAnsi="Times New Roman"/>
          <w:b w:val="1"/>
          <w:sz w:val="22"/>
        </w:rPr>
        <w:t>3</w:t>
      </w:r>
      <w:r>
        <w:rPr>
          <w:rFonts w:ascii="Times New Roman" w:hAnsi="Times New Roman"/>
          <w:b w:val="1"/>
          <w:sz w:val="22"/>
        </w:rPr>
        <w:t xml:space="preserve"> квартал 2024 го</w:t>
      </w:r>
      <w:r>
        <w:rPr>
          <w:rFonts w:ascii="Times New Roman" w:hAnsi="Times New Roman"/>
          <w:b w:val="1"/>
          <w:sz w:val="22"/>
        </w:rPr>
        <w:t>д</w:t>
      </w:r>
      <w:bookmarkStart w:id="1" w:name="_GoBack"/>
      <w:bookmarkEnd w:id="1"/>
      <w:r>
        <w:rPr>
          <w:rFonts w:ascii="Times New Roman" w:hAnsi="Times New Roman"/>
          <w:b w:val="1"/>
          <w:sz w:val="22"/>
        </w:rPr>
        <w:t>а</w:t>
      </w:r>
    </w:p>
    <w:tbl>
      <w:tblPr>
        <w:tblStyle w:val="Style_2"/>
        <w:tblW w:type="auto" w:w="0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50"/>
        <w:gridCol w:w="6521"/>
        <w:gridCol w:w="8438"/>
      </w:tblGrid>
      <w:tr>
        <w:trPr>
          <w:tblHeader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N п/п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 мероприятия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Результаты исполнения мероприятий</w:t>
            </w:r>
          </w:p>
        </w:tc>
      </w:tr>
      <w:tr>
        <w:trPr>
          <w:tblHeader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i w:val="1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1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i w:val="1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2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i w:val="1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3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Доведение до </w:t>
            </w:r>
            <w:r>
              <w:rPr>
                <w:rFonts w:ascii="Times New Roman" w:hAnsi="Times New Roman"/>
                <w:sz w:val="22"/>
              </w:rPr>
              <w:t>сотрудников учреждения (далее учреждение</w:t>
            </w:r>
            <w:r>
              <w:rPr>
                <w:rFonts w:ascii="Times New Roman" w:hAnsi="Times New Roman"/>
                <w:sz w:val="22"/>
              </w:rPr>
              <w:t>) законодательства по противодействию коррупции и разъяснение положений законодательства по противодействию коррупции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Информация по противодействию коррупции и разъяснение положений законодательства по противодействию коррупции доводится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 xml:space="preserve">до </w:t>
            </w:r>
            <w:r>
              <w:rPr>
                <w:rFonts w:ascii="Times New Roman" w:hAnsi="Times New Roman"/>
                <w:sz w:val="22"/>
              </w:rPr>
              <w:t xml:space="preserve">сотрудников </w:t>
            </w:r>
            <w:r>
              <w:rPr>
                <w:rFonts w:ascii="Times New Roman" w:hAnsi="Times New Roman"/>
                <w:sz w:val="22"/>
              </w:rPr>
              <w:t>учреждени</w:t>
            </w:r>
            <w:r>
              <w:rPr>
                <w:rFonts w:ascii="Times New Roman" w:hAnsi="Times New Roman"/>
                <w:sz w:val="22"/>
              </w:rPr>
              <w:t>я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Размещение инфо</w:t>
            </w:r>
            <w:r>
              <w:rPr>
                <w:rFonts w:ascii="Times New Roman" w:hAnsi="Times New Roman"/>
                <w:sz w:val="22"/>
              </w:rPr>
              <w:t>рмации о деятельности учреждения</w:t>
            </w:r>
            <w:r>
              <w:rPr>
                <w:rFonts w:ascii="Times New Roman" w:hAnsi="Times New Roman"/>
                <w:sz w:val="22"/>
              </w:rPr>
              <w:t xml:space="preserve"> в средствах массовой информации и на официальных сайтах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Информация о деятельности учреждени</w:t>
            </w:r>
            <w:r>
              <w:rPr>
                <w:rFonts w:ascii="Times New Roman" w:hAnsi="Times New Roman"/>
                <w:sz w:val="22"/>
              </w:rPr>
              <w:t>я</w:t>
            </w:r>
            <w:r>
              <w:rPr>
                <w:rFonts w:ascii="Times New Roman" w:hAnsi="Times New Roman"/>
                <w:sz w:val="22"/>
              </w:rPr>
              <w:t xml:space="preserve"> своевременно размещается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 официальном сайте учреждени</w:t>
            </w:r>
            <w:r>
              <w:rPr>
                <w:rFonts w:ascii="Times New Roman" w:hAnsi="Times New Roman"/>
                <w:sz w:val="22"/>
              </w:rPr>
              <w:t>я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i w:val="1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3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i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Анализ правовых актов У</w:t>
            </w:r>
            <w:r>
              <w:rPr>
                <w:rFonts w:ascii="Times New Roman" w:hAnsi="Times New Roman"/>
                <w:sz w:val="22"/>
              </w:rPr>
              <w:t>чреждения</w:t>
            </w:r>
            <w:r>
              <w:rPr>
                <w:rFonts w:ascii="Times New Roman" w:hAnsi="Times New Roman"/>
                <w:sz w:val="22"/>
              </w:rPr>
              <w:t xml:space="preserve"> о противодействии коррупции в целях приведения их в соответствие с законодательством Российской Федерации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Анализ локальных нормативно-правовых актов </w:t>
            </w:r>
            <w:r>
              <w:rPr>
                <w:rFonts w:ascii="Times New Roman" w:hAnsi="Times New Roman"/>
                <w:sz w:val="22"/>
              </w:rPr>
              <w:t xml:space="preserve">учреждения </w:t>
            </w:r>
            <w:r>
              <w:rPr>
                <w:rFonts w:ascii="Times New Roman" w:hAnsi="Times New Roman"/>
                <w:sz w:val="22"/>
              </w:rPr>
              <w:t xml:space="preserve">производится постоянно. </w:t>
            </w:r>
          </w:p>
          <w:p w14:paraId="14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i w:val="1"/>
                <w:sz w:val="22"/>
              </w:rPr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i w:val="1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4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Внесение изменений в действующие Приказы по совершенствованию правового регулирования противодействия коррупции в соответствии с изменениями в законодательстве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мере необходимости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Анализ заявлений, обращений граждан</w:t>
            </w:r>
          </w:p>
          <w:p w14:paraId="1A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предмет наличия в них информации о фактах коррупции в учреждениях.</w:t>
            </w:r>
          </w:p>
          <w:p w14:paraId="1B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результатам принятие организационных мер, направленных на предупреждение подобных фактов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Заявлений и обращений граждан</w:t>
            </w:r>
            <w:r>
              <w:rPr>
                <w:rFonts w:ascii="Times New Roman" w:hAnsi="Times New Roman"/>
                <w:sz w:val="22"/>
              </w:rPr>
              <w:t xml:space="preserve"> о фактах коррупции в учреждении</w:t>
            </w:r>
            <w:r>
              <w:rPr>
                <w:rFonts w:ascii="Times New Roman" w:hAnsi="Times New Roman"/>
                <w:sz w:val="22"/>
              </w:rPr>
              <w:t xml:space="preserve"> в отчетном периоде не поступало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Приняти</w:t>
            </w:r>
            <w:r>
              <w:rPr>
                <w:rFonts w:ascii="Times New Roman" w:hAnsi="Times New Roman"/>
                <w:sz w:val="22"/>
              </w:rPr>
              <w:t>е мер по устранению в учреждении</w:t>
            </w:r>
            <w:r>
              <w:rPr>
                <w:rFonts w:ascii="Times New Roman" w:hAnsi="Times New Roman"/>
                <w:sz w:val="22"/>
              </w:rPr>
              <w:t xml:space="preserve"> условий, способствующих совершению коррупционных правонарушений, с которыми граждане встречаются наиболее часто (бытовая коррупция)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учреждении</w:t>
            </w:r>
            <w:r>
              <w:rPr>
                <w:rFonts w:ascii="Times New Roman" w:hAnsi="Times New Roman"/>
                <w:sz w:val="22"/>
              </w:rPr>
              <w:t xml:space="preserve"> разработаны кодексы этики, устанавливающие 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правила поведения работников при выполнении ими своих должностных обязанностей и предписывающие не допускать негативное влияние личных, имущественных (финансовых) и иных интересов на добросовестное исполнение должностных обязанностей.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Осуществление контроля за исполнением учреждениями Федерального закона РФ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Директором учреждения </w:t>
            </w:r>
            <w:r>
              <w:rPr>
                <w:rFonts w:ascii="Times New Roman" w:hAnsi="Times New Roman"/>
                <w:sz w:val="22"/>
              </w:rPr>
              <w:t>осуществляется контроль за исполнением учреждениями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24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Обобщение и предоставление в отдел по вопросам государственной службы и кадров администрации информационных материалов и сведений по показателям мониторинга коррупционных проявлений в деятельности учреждений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Информационные материалы и сведения по показателям антикоррупционн</w:t>
            </w:r>
            <w:r>
              <w:rPr>
                <w:rFonts w:ascii="Times New Roman" w:hAnsi="Times New Roman"/>
                <w:sz w:val="22"/>
              </w:rPr>
              <w:t xml:space="preserve">ого мониторинга о деятельности </w:t>
            </w:r>
            <w:r>
              <w:rPr>
                <w:rFonts w:ascii="Times New Roman" w:hAnsi="Times New Roman"/>
                <w:sz w:val="22"/>
              </w:rPr>
              <w:t>учреждения</w:t>
            </w:r>
            <w:r>
              <w:rPr>
                <w:rFonts w:ascii="Times New Roman" w:hAnsi="Times New Roman"/>
                <w:sz w:val="22"/>
              </w:rPr>
              <w:t xml:space="preserve"> предоставляются в отдел по вопросам государственной службы и кадров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Оказание содействия в предотвращении и урегулировании случаев конфликта интересов в учреждениях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Случаи кон</w:t>
            </w:r>
            <w:r>
              <w:rPr>
                <w:rFonts w:ascii="Times New Roman" w:hAnsi="Times New Roman"/>
                <w:sz w:val="22"/>
              </w:rPr>
              <w:t>фликта интересов в учреждении</w:t>
            </w:r>
            <w:r>
              <w:rPr>
                <w:rFonts w:ascii="Times New Roman" w:hAnsi="Times New Roman"/>
                <w:sz w:val="22"/>
              </w:rPr>
              <w:t xml:space="preserve"> не выявлены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разработки и внедрения в практику стандартов и процедур, направленных на обеспечение надлежащей работы учреждений, в том числе содержащихся в административных регламентах предоставления государственных услуг (исполнения государственных функций)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Учреждение</w:t>
            </w:r>
            <w:r>
              <w:rPr>
                <w:rFonts w:ascii="Times New Roman" w:hAnsi="Times New Roman"/>
                <w:sz w:val="22"/>
              </w:rPr>
              <w:t xml:space="preserve"> предоставля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>т гражданам госуда</w:t>
            </w:r>
            <w:r>
              <w:rPr>
                <w:rFonts w:ascii="Times New Roman" w:hAnsi="Times New Roman"/>
                <w:sz w:val="22"/>
              </w:rPr>
              <w:t>рственную услугу в соответствии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с Ведомственным перечнем государственных услуг (работ), оказываемых (выполняемых) государственными бюджетными учреждениями, подведомственными администрации Василеостровского района, утвержденным главой администрации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анализа соответствия предмету и целям деятельности учреждений, качества и (или) объема (состава) государственных услуг, оказываемым учреждениями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Оказываемые учреждением</w:t>
            </w:r>
            <w:r>
              <w:rPr>
                <w:rFonts w:ascii="Times New Roman" w:hAnsi="Times New Roman"/>
                <w:sz w:val="22"/>
              </w:rPr>
              <w:t xml:space="preserve"> государственные услуги соответствуют предмету и целям деятельности учреждений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Проверки (ревизии) деятельности учреждений, в том числе направленные на обеспечение эффективного контроля за использованием государственного имущества Санкт-Петербурга, закрепленного за учреждениями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отчет</w:t>
            </w:r>
            <w:r>
              <w:rPr>
                <w:rFonts w:ascii="Times New Roman" w:hAnsi="Times New Roman"/>
                <w:sz w:val="22"/>
              </w:rPr>
              <w:t>ный</w:t>
            </w:r>
            <w:r>
              <w:rPr>
                <w:rFonts w:ascii="Times New Roman" w:hAnsi="Times New Roman"/>
                <w:sz w:val="22"/>
              </w:rPr>
              <w:t xml:space="preserve"> период проверки не проводились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антикоррупционного образования руководителей</w:t>
            </w:r>
          </w:p>
          <w:p w14:paraId="37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 работников учреждений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Планируется п</w:t>
            </w:r>
            <w:r>
              <w:rPr>
                <w:rFonts w:ascii="Times New Roman" w:hAnsi="Times New Roman"/>
                <w:sz w:val="22"/>
              </w:rPr>
              <w:t>овышение квалификации ответственного</w:t>
            </w:r>
            <w:r>
              <w:rPr>
                <w:rFonts w:ascii="Times New Roman" w:hAnsi="Times New Roman"/>
                <w:sz w:val="22"/>
              </w:rPr>
              <w:t xml:space="preserve"> Сапронова А.М. во 2-м полугодии 2024 года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ind w:firstLine="32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Рассмотрение на </w:t>
            </w:r>
            <w:r>
              <w:rPr>
                <w:rFonts w:ascii="Times New Roman" w:hAnsi="Times New Roman"/>
                <w:sz w:val="22"/>
              </w:rPr>
              <w:t>заседаниях комиссии</w:t>
            </w:r>
            <w:r>
              <w:rPr>
                <w:rFonts w:ascii="Times New Roman" w:hAnsi="Times New Roman"/>
                <w:sz w:val="22"/>
              </w:rPr>
              <w:t xml:space="preserve"> вопросы:</w:t>
            </w:r>
          </w:p>
          <w:p w14:paraId="3B000000">
            <w:pPr>
              <w:ind w:firstLine="32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-правовой пропаганды и профилактики антикоррупционной направленности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3C000000">
            <w:pPr>
              <w:ind w:firstLine="32" w:left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Проводимый инструктаж за 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-е полугодие: 08</w:t>
            </w:r>
            <w:r>
              <w:rPr>
                <w:rFonts w:ascii="Times New Roman" w:hAnsi="Times New Roman"/>
                <w:sz w:val="22"/>
              </w:rPr>
              <w:t>.07</w:t>
            </w:r>
            <w:r>
              <w:rPr>
                <w:rFonts w:ascii="Times New Roman" w:hAnsi="Times New Roman"/>
                <w:sz w:val="22"/>
              </w:rPr>
              <w:t>.202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 xml:space="preserve"> г.</w:t>
            </w:r>
          </w:p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ind w:firstLine="32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Осуществление комплекса дополнительных мер по реализации антикоррупционной политики с внесением изменений в планы работы по противодействию коррупции в Г</w:t>
            </w:r>
            <w:r>
              <w:rPr>
                <w:rFonts w:ascii="Times New Roman" w:hAnsi="Times New Roman"/>
                <w:sz w:val="22"/>
              </w:rPr>
              <w:t>Б</w:t>
            </w:r>
            <w:r>
              <w:rPr>
                <w:rFonts w:ascii="Times New Roman" w:hAnsi="Times New Roman"/>
                <w:sz w:val="22"/>
              </w:rPr>
              <w:t>У при выявлении органами прокуратуры, правоохранительными, контролирующими органами коррупционных правонарушений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 Г</w:t>
            </w:r>
            <w:r>
              <w:rPr>
                <w:rFonts w:ascii="Times New Roman" w:hAnsi="Times New Roman"/>
                <w:sz w:val="22"/>
              </w:rPr>
              <w:t>Б</w:t>
            </w:r>
            <w:r>
              <w:rPr>
                <w:rFonts w:ascii="Times New Roman" w:hAnsi="Times New Roman"/>
                <w:sz w:val="22"/>
              </w:rPr>
              <w:t>У</w:t>
            </w:r>
          </w:p>
        </w:tc>
        <w:tc>
          <w:tcPr>
            <w:tcW w:type="dxa" w:w="8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rPr>
                <w:rFonts w:ascii="Times New Roman" w:hAnsi="Times New Roman"/>
                <w:sz w:val="22"/>
              </w:rPr>
            </w:pPr>
          </w:p>
          <w:p w14:paraId="4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отчетном периоде органами прокуратуры, правоохранительными, контролирующими органа</w:t>
            </w:r>
            <w:r>
              <w:rPr>
                <w:rFonts w:ascii="Times New Roman" w:hAnsi="Times New Roman"/>
                <w:sz w:val="22"/>
              </w:rPr>
              <w:t xml:space="preserve">ми коррупционных правонарушений </w:t>
            </w:r>
            <w:r>
              <w:rPr>
                <w:rFonts w:ascii="Times New Roman" w:hAnsi="Times New Roman"/>
                <w:sz w:val="22"/>
              </w:rPr>
              <w:t>в Г</w:t>
            </w:r>
            <w:r>
              <w:rPr>
                <w:rFonts w:ascii="Times New Roman" w:hAnsi="Times New Roman"/>
                <w:sz w:val="22"/>
              </w:rPr>
              <w:t>Б</w:t>
            </w:r>
            <w:r>
              <w:rPr>
                <w:rFonts w:ascii="Times New Roman" w:hAnsi="Times New Roman"/>
                <w:sz w:val="22"/>
              </w:rPr>
              <w:t>У не выявлено</w:t>
            </w:r>
          </w:p>
          <w:p w14:paraId="43000000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4000000">
      <w:pPr>
        <w:widowControl w:val="0"/>
        <w:ind w:firstLine="0" w:left="-426"/>
        <w:jc w:val="center"/>
        <w:rPr>
          <w:rFonts w:ascii="Times New Roman" w:hAnsi="Times New Roman"/>
          <w:b w:val="1"/>
          <w:sz w:val="22"/>
        </w:rPr>
      </w:pPr>
    </w:p>
    <w:p w14:paraId="45000000">
      <w:pPr>
        <w:widowControl w:val="0"/>
        <w:ind w:firstLine="0" w:left="-426"/>
        <w:rPr>
          <w:rFonts w:ascii="Times New Roman" w:hAnsi="Times New Roman"/>
          <w:b w:val="1"/>
          <w:sz w:val="22"/>
        </w:rPr>
      </w:pPr>
    </w:p>
    <w:sectPr>
      <w:headerReference r:id="rId1" w:type="default"/>
      <w:pgSz w:h="11906" w:orient="landscape" w:w="16838"/>
      <w:pgMar w:bottom="851" w:footer="709" w:gutter="0" w:header="425" w:left="709" w:right="851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t xml:space="preserve"> </w:t>
    </w:r>
    <w:r>
      <w:rPr>
        <w:sz w:val="20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Неразрешенное упоминание1"/>
    <w:basedOn w:val="Style_5"/>
    <w:link w:val="Style_4_ch"/>
    <w:rPr>
      <w:color w:val="605E5C"/>
      <w:shd w:fill="E1DFDD" w:val="clear"/>
    </w:rPr>
  </w:style>
  <w:style w:styleId="Style_4_ch" w:type="character">
    <w:name w:val="Неразрешенное упоминание1"/>
    <w:basedOn w:val="Style_5_ch"/>
    <w:link w:val="Style_4"/>
    <w:rPr>
      <w:color w:val="605E5C"/>
      <w:shd w:fill="E1DFDD" w:val="clear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3_ch"/>
    <w:link w:val="Style_8"/>
  </w:style>
  <w:style w:styleId="Style_9" w:type="paragraph">
    <w:name w:val="Обычный11"/>
    <w:link w:val="Style_9_ch"/>
    <w:rPr>
      <w:rFonts w:ascii="Arial" w:hAnsi="Arial"/>
      <w:sz w:val="18"/>
    </w:rPr>
  </w:style>
  <w:style w:styleId="Style_9_ch" w:type="character">
    <w:name w:val="Обычный11"/>
    <w:link w:val="Style_9"/>
    <w:rPr>
      <w:rFonts w:ascii="Arial" w:hAnsi="Arial"/>
      <w:sz w:val="1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."/>
    <w:link w:val="Style_12_ch"/>
    <w:pPr>
      <w:widowControl w:val="0"/>
      <w:ind/>
    </w:pPr>
    <w:rPr>
      <w:sz w:val="24"/>
    </w:rPr>
  </w:style>
  <w:style w:styleId="Style_12_ch" w:type="character">
    <w:name w:val="."/>
    <w:link w:val="Style_12"/>
    <w:rPr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4_ch" w:type="character">
    <w:name w:val="heading 3"/>
    <w:basedOn w:val="Style_3_ch"/>
    <w:link w:val="Style_14"/>
    <w:rPr>
      <w:rFonts w:asciiTheme="majorAscii" w:hAnsiTheme="majorHAnsi"/>
      <w:b w:val="1"/>
      <w:color w:themeColor="accent1" w:val="4F81BD"/>
    </w:rPr>
  </w:style>
  <w:style w:styleId="Style_15" w:type="paragraph">
    <w:name w:val="Normal (Web)"/>
    <w:basedOn w:val="Style_3"/>
    <w:link w:val="Style_15_ch"/>
    <w:pPr>
      <w:spacing w:afterAutospacing="on" w:beforeAutospacing="on"/>
      <w:ind/>
    </w:pPr>
  </w:style>
  <w:style w:styleId="Style_15_ch" w:type="character">
    <w:name w:val="Normal (Web)"/>
    <w:basedOn w:val="Style_3_ch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Без интервала1"/>
    <w:link w:val="Style_17_ch"/>
    <w:rPr>
      <w:rFonts w:ascii="Calibri" w:hAnsi="Calibri"/>
      <w:sz w:val="22"/>
    </w:rPr>
  </w:style>
  <w:style w:styleId="Style_17_ch" w:type="character">
    <w:name w:val="Без интервала1"/>
    <w:link w:val="Style_17"/>
    <w:rPr>
      <w:rFonts w:ascii="Calibri" w:hAnsi="Calibri"/>
      <w:sz w:val="22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.HEADERTEXT"/>
    <w:link w:val="Style_20_ch"/>
    <w:pPr>
      <w:widowControl w:val="0"/>
      <w:ind/>
    </w:pPr>
    <w:rPr>
      <w:color w:val="2B4279"/>
      <w:sz w:val="24"/>
    </w:rPr>
  </w:style>
  <w:style w:styleId="Style_20_ch" w:type="character">
    <w:name w:val=".HEADERTEXT"/>
    <w:link w:val="Style_20"/>
    <w:rPr>
      <w:color w:val="2B4279"/>
      <w:sz w:val="24"/>
    </w:rPr>
  </w:style>
  <w:style w:styleId="Style_21" w:type="paragraph">
    <w:name w:val="Основной текст1"/>
    <w:basedOn w:val="Style_3"/>
    <w:link w:val="Style_21_ch"/>
    <w:pPr>
      <w:spacing w:line="302" w:lineRule="exact"/>
      <w:ind/>
    </w:pPr>
  </w:style>
  <w:style w:styleId="Style_21_ch" w:type="character">
    <w:name w:val="Основной текст1"/>
    <w:basedOn w:val="Style_3_ch"/>
    <w:link w:val="Style_21"/>
  </w:style>
  <w:style w:styleId="Style_22" w:type="paragraph">
    <w:name w:val="Hyperlink"/>
    <w:basedOn w:val="Style_5"/>
    <w:link w:val="Style_22_ch"/>
    <w:rPr>
      <w:rFonts w:ascii="Arial" w:hAnsi="Arial"/>
      <w:strike w:val="0"/>
      <w:color w:val="000000"/>
      <w:sz w:val="18"/>
      <w:u w:val="none"/>
    </w:rPr>
  </w:style>
  <w:style w:styleId="Style_22_ch" w:type="character">
    <w:name w:val="Hyperlink"/>
    <w:basedOn w:val="Style_5_ch"/>
    <w:link w:val="Style_22"/>
    <w:rPr>
      <w:rFonts w:ascii="Arial" w:hAnsi="Arial"/>
      <w:strike w:val="0"/>
      <w:color w:val="000000"/>
      <w:sz w:val="18"/>
      <w:u w:val="non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.FORMATTEXT"/>
    <w:link w:val="Style_27_ch"/>
    <w:pPr>
      <w:widowControl w:val="0"/>
      <w:ind/>
    </w:pPr>
    <w:rPr>
      <w:sz w:val="24"/>
    </w:rPr>
  </w:style>
  <w:style w:styleId="Style_27_ch" w:type="character">
    <w:name w:val=".FORMATTEXT"/>
    <w:link w:val="Style_27"/>
    <w:rPr>
      <w:sz w:val="24"/>
    </w:rPr>
  </w:style>
  <w:style w:styleId="Style_28" w:type="paragraph">
    <w:name w:val="bold1"/>
    <w:basedOn w:val="Style_5"/>
    <w:link w:val="Style_28_ch"/>
    <w:rPr>
      <w:b w:val="1"/>
    </w:rPr>
  </w:style>
  <w:style w:styleId="Style_28_ch" w:type="character">
    <w:name w:val="bold1"/>
    <w:basedOn w:val="Style_5_ch"/>
    <w:link w:val="Style_28"/>
    <w:rPr>
      <w:b w:val="1"/>
    </w:rPr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  <w:rPr>
      <w:rFonts w:ascii="Arial" w:hAnsi="Arial"/>
      <w:sz w:val="18"/>
    </w:rPr>
  </w:style>
  <w:style w:styleId="Style_30_ch" w:type="character">
    <w:name w:val="Обычный1"/>
    <w:link w:val="Style_30"/>
    <w:rPr>
      <w:rFonts w:ascii="Arial" w:hAnsi="Arial"/>
      <w:sz w:val="18"/>
    </w:rPr>
  </w:style>
  <w:style w:styleId="Style_31" w:type="paragraph">
    <w:name w:val="toc 5"/>
    <w:next w:val="Style_3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List Paragraph"/>
    <w:basedOn w:val="Style_3"/>
    <w:link w:val="Style_32_ch"/>
    <w:pPr>
      <w:ind w:firstLine="0" w:left="720"/>
      <w:contextualSpacing w:val="1"/>
    </w:pPr>
  </w:style>
  <w:style w:styleId="Style_32_ch" w:type="character">
    <w:name w:val="List Paragraph"/>
    <w:basedOn w:val="Style_3_ch"/>
    <w:link w:val="Style_32"/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Balloon Text"/>
    <w:basedOn w:val="Style_3"/>
    <w:link w:val="Style_36_ch"/>
    <w:rPr>
      <w:rFonts w:ascii="Tahoma" w:hAnsi="Tahoma"/>
      <w:sz w:val="16"/>
    </w:rPr>
  </w:style>
  <w:style w:styleId="Style_36_ch" w:type="character">
    <w:name w:val="Balloon Text"/>
    <w:basedOn w:val="Style_3_ch"/>
    <w:link w:val="Style_36"/>
    <w:rPr>
      <w:rFonts w:ascii="Tahoma" w:hAnsi="Tahoma"/>
      <w:sz w:val="16"/>
    </w:rPr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Strong"/>
    <w:basedOn w:val="Style_5"/>
    <w:link w:val="Style_38_ch"/>
    <w:rPr>
      <w:b w:val="1"/>
    </w:rPr>
  </w:style>
  <w:style w:styleId="Style_38_ch" w:type="character">
    <w:name w:val="Strong"/>
    <w:basedOn w:val="Style_5_ch"/>
    <w:link w:val="Style_38"/>
    <w:rPr>
      <w:b w:val="1"/>
    </w:rPr>
  </w:style>
  <w:style w:styleId="Style_3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Сетка таблицы2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Сетка таблицы1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2024-09-16T13:55:43Z</dcterms:modified>
</cp:coreProperties>
</file>